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09A" w:rsidRPr="003B1EA4" w:rsidRDefault="0089509A" w:rsidP="0089509A">
      <w:pPr>
        <w:jc w:val="center"/>
        <w:rPr>
          <w:rFonts w:eastAsia="Times New Roman" w:cs="Times New Roman"/>
          <w:b/>
          <w:sz w:val="26"/>
          <w:szCs w:val="26"/>
          <w:lang w:val="nl-NL"/>
        </w:rPr>
      </w:pPr>
      <w:r w:rsidRPr="003B1EA4">
        <w:rPr>
          <w:rFonts w:eastAsia="Times New Roman" w:cs="Times New Roman"/>
          <w:b/>
          <w:sz w:val="26"/>
          <w:szCs w:val="26"/>
          <w:lang w:val="nl-NL"/>
        </w:rPr>
        <w:t>PHỤ LỤC GIẢI TRÌNH Ý KIẾN THẨM ĐỊNH</w:t>
      </w:r>
    </w:p>
    <w:p w:rsidR="0089509A" w:rsidRPr="003B1EA4" w:rsidRDefault="0089509A" w:rsidP="0089509A">
      <w:pPr>
        <w:spacing w:before="120" w:after="120"/>
        <w:jc w:val="center"/>
        <w:rPr>
          <w:rFonts w:eastAsia="Times New Roman" w:cs="Times New Roman"/>
          <w:i/>
          <w:sz w:val="26"/>
          <w:szCs w:val="26"/>
          <w:lang w:val="nl-NL"/>
        </w:rPr>
      </w:pPr>
      <w:r w:rsidRPr="003B1EA4">
        <w:rPr>
          <w:rFonts w:eastAsia="Times New Roman" w:cs="Times New Roman"/>
          <w:i/>
          <w:sz w:val="26"/>
          <w:szCs w:val="26"/>
          <w:lang w:val="nl-NL"/>
        </w:rPr>
        <w:t xml:space="preserve">(Kèm theo </w:t>
      </w:r>
      <w:r w:rsidR="00961635" w:rsidRPr="003B1EA4">
        <w:rPr>
          <w:rFonts w:eastAsia="Times New Roman" w:cs="Times New Roman"/>
          <w:i/>
          <w:sz w:val="26"/>
          <w:szCs w:val="26"/>
          <w:lang w:val="vi-VN"/>
        </w:rPr>
        <w:t>Văn bản</w:t>
      </w:r>
      <w:r w:rsidRPr="003B1EA4">
        <w:rPr>
          <w:rFonts w:eastAsia="Times New Roman" w:cs="Times New Roman"/>
          <w:i/>
          <w:sz w:val="26"/>
          <w:szCs w:val="26"/>
          <w:lang w:val="nl-NL"/>
        </w:rPr>
        <w:t xml:space="preserve"> số        /STNMT</w:t>
      </w:r>
      <w:r w:rsidR="00961635" w:rsidRPr="003B1EA4">
        <w:rPr>
          <w:rFonts w:eastAsia="Times New Roman" w:cs="Times New Roman"/>
          <w:i/>
          <w:sz w:val="26"/>
          <w:szCs w:val="26"/>
          <w:lang w:val="vi-VN"/>
        </w:rPr>
        <w:t xml:space="preserve"> –VPĐKĐĐ</w:t>
      </w:r>
      <w:r w:rsidRPr="003B1EA4">
        <w:rPr>
          <w:rFonts w:eastAsia="Times New Roman" w:cs="Times New Roman"/>
          <w:i/>
          <w:sz w:val="26"/>
          <w:szCs w:val="26"/>
          <w:lang w:val="nl-NL"/>
        </w:rPr>
        <w:t xml:space="preserve"> ngày       tháng       năm 2024 của Sở Tài nguyên và Môi trường tỉnh Điện Biên)</w:t>
      </w:r>
    </w:p>
    <w:tbl>
      <w:tblPr>
        <w:tblW w:w="14049" w:type="dxa"/>
        <w:tblInd w:w="93" w:type="dxa"/>
        <w:tblLook w:val="04A0" w:firstRow="1" w:lastRow="0" w:firstColumn="1" w:lastColumn="0" w:noHBand="0" w:noVBand="1"/>
      </w:tblPr>
      <w:tblGrid>
        <w:gridCol w:w="1380"/>
        <w:gridCol w:w="8983"/>
        <w:gridCol w:w="3686"/>
      </w:tblGrid>
      <w:tr w:rsidR="00282205" w:rsidRPr="003B1EA4" w:rsidTr="003B1EA4">
        <w:trPr>
          <w:trHeight w:val="6266"/>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jc w:val="center"/>
              <w:rPr>
                <w:rFonts w:eastAsia="Times New Roman" w:cs="Times New Roman"/>
                <w:color w:val="000000"/>
                <w:sz w:val="26"/>
                <w:szCs w:val="26"/>
              </w:rPr>
            </w:pPr>
            <w:r w:rsidRPr="003B1EA4">
              <w:rPr>
                <w:rFonts w:eastAsia="Times New Roman" w:cs="Times New Roman"/>
                <w:color w:val="000000"/>
                <w:sz w:val="26"/>
                <w:szCs w:val="26"/>
              </w:rPr>
              <w:t xml:space="preserve">1. Sở Tài chính </w:t>
            </w:r>
          </w:p>
        </w:tc>
        <w:tc>
          <w:tcPr>
            <w:tcW w:w="8983" w:type="dxa"/>
            <w:tcBorders>
              <w:top w:val="single" w:sz="4" w:space="0" w:color="auto"/>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Tại điểm d, khoản 2, Điều 4 dự thảo Quyết định quy định về ưuy trình luân chuyển hồ sơ xác định nghĩa vụ tài chính về đất đai trên địa bàn tỉnh Điện Biên quy định "Hội đồng thẩm định giá cụ thể thẩm định phương án giá đất và gửi văn bản thẩm định phương án giá đất đến cơ quan chức năng quản lý đất đai trong thời hạn 15 ngày làm việc". Tuy nhiên, căn cứ điểm b, c, d khoản 1 Điều 4 Quyết định số 1836/QĐ-HĐTĐGĐCTT ngày 15/10/2024 của uỷ ban nhân dân tỉnh Điện Biên ban hành Quy chế hoạt động của Hội đồng thẩm định giá đất cụ thể tỉnh Điện Biên quy định thời gia Hội đồng thẩm định giá đất cụ thể tỉnh thẩm định phương án giá đất, cụ thể:</w:t>
            </w:r>
            <w:r w:rsidRPr="003B1EA4">
              <w:rPr>
                <w:rFonts w:eastAsia="Times New Roman" w:cs="Times New Roman"/>
                <w:color w:val="000000"/>
                <w:sz w:val="26"/>
                <w:szCs w:val="26"/>
              </w:rPr>
              <w:br/>
            </w:r>
            <w:r w:rsidRPr="003B1EA4">
              <w:rPr>
                <w:rFonts w:eastAsia="Times New Roman" w:cs="Times New Roman"/>
                <w:i/>
                <w:iCs/>
                <w:color w:val="000000"/>
                <w:sz w:val="26"/>
                <w:szCs w:val="26"/>
              </w:rPr>
              <w:t>"b. Trong thời gian không quá 03 ngày làm việc kề từ ngày nhận được phương án giá đất, sở Tài chính gửi văn bản và hồ sơ phương án giá đất kèm theo đến các thành viên Hội đồng để xin ý kiến gópp ý vào phương án giá đất.</w:t>
            </w:r>
            <w:r w:rsidRPr="003B1EA4">
              <w:rPr>
                <w:rFonts w:eastAsia="Times New Roman" w:cs="Times New Roman"/>
                <w:i/>
                <w:iCs/>
                <w:color w:val="000000"/>
                <w:sz w:val="26"/>
                <w:szCs w:val="26"/>
              </w:rPr>
              <w:br/>
              <w:t>c. Trong thời gian không quá 05 ngày làm việc kể từ ngày nhận được phương án giá đất, thành viên Hội đồng phải có ý kiến bằng văn bản gửi về sở Tài chính.</w:t>
            </w:r>
            <w:r w:rsidRPr="003B1EA4">
              <w:rPr>
                <w:rFonts w:eastAsia="Times New Roman" w:cs="Times New Roman"/>
                <w:i/>
                <w:iCs/>
                <w:color w:val="000000"/>
                <w:sz w:val="26"/>
                <w:szCs w:val="26"/>
              </w:rPr>
              <w:br/>
              <w:t>d. Trong thời gian không quá 15 ngày làm việc kể từ ngày gửi văn bản lấy ý kiến các thành viên Hội đồng về phương án giá đất, sở Tài chính tổng hợp ý kiến và báo cáo Chủ tịch Hội đồng về việc tổ chức họp đội đồng; Chủ tịch hội đồng quyết định tổ chức phiên họp thẩm định giá đất."</w:t>
            </w:r>
            <w:r w:rsidRPr="003B1EA4">
              <w:rPr>
                <w:rFonts w:eastAsia="Times New Roman" w:cs="Times New Roman"/>
                <w:i/>
                <w:iCs/>
                <w:color w:val="000000"/>
                <w:sz w:val="26"/>
                <w:szCs w:val="26"/>
              </w:rPr>
              <w:br/>
            </w:r>
            <w:r w:rsidRPr="003B1EA4">
              <w:rPr>
                <w:rFonts w:eastAsia="Times New Roman" w:cs="Times New Roman"/>
                <w:color w:val="000000"/>
                <w:sz w:val="26"/>
                <w:szCs w:val="26"/>
              </w:rPr>
              <w:t>Từ những nội dung nêu trên, sở Tài chính đề nghị sở Tài nguyên căn cứ Quyết định số 1836/QĐ-HĐTĐGĐCTT ngày 15/10/2024 của uỷ ban nhân dân tỉnh Điện Biên và các văn bản có liên quan rà soát, nghiên cứu, xem xét chỉnh sửa dự thảo.</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1110"/>
        </w:trPr>
        <w:tc>
          <w:tcPr>
            <w:tcW w:w="1380" w:type="dxa"/>
            <w:vMerge w:val="restart"/>
            <w:tcBorders>
              <w:top w:val="nil"/>
              <w:left w:val="single" w:sz="4" w:space="0" w:color="auto"/>
              <w:bottom w:val="single" w:sz="4" w:space="0" w:color="000000"/>
              <w:right w:val="single" w:sz="4" w:space="0" w:color="auto"/>
            </w:tcBorders>
            <w:shd w:val="clear" w:color="auto" w:fill="auto"/>
            <w:vAlign w:val="center"/>
            <w:hideMark/>
          </w:tcPr>
          <w:p w:rsidR="00282205" w:rsidRPr="003B1EA4" w:rsidRDefault="00282205" w:rsidP="00282205">
            <w:pPr>
              <w:jc w:val="center"/>
              <w:rPr>
                <w:rFonts w:eastAsia="Times New Roman" w:cs="Times New Roman"/>
                <w:b/>
                <w:bCs/>
                <w:color w:val="000000"/>
                <w:sz w:val="26"/>
                <w:szCs w:val="26"/>
              </w:rPr>
            </w:pPr>
            <w:r w:rsidRPr="003B1EA4">
              <w:rPr>
                <w:rFonts w:eastAsia="Times New Roman" w:cs="Times New Roman"/>
                <w:b/>
                <w:bCs/>
                <w:color w:val="000000"/>
                <w:sz w:val="26"/>
                <w:szCs w:val="26"/>
              </w:rPr>
              <w:t xml:space="preserve">2. Thanh tra tỉnh </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1. Tiêu đề  của Quy định, đề nghị cơ quan soạn thảo văn bản xem xét sửa đổi cụm từ"Quy định ban hành quy định quy trình luân chuyển hồ sơ.." thành "Quy định quy trình luân chuyển hồ sơ";</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1110"/>
        </w:trPr>
        <w:tc>
          <w:tcPr>
            <w:tcW w:w="1380" w:type="dxa"/>
            <w:vMerge/>
            <w:tcBorders>
              <w:top w:val="nil"/>
              <w:left w:val="single" w:sz="4" w:space="0" w:color="auto"/>
              <w:bottom w:val="single" w:sz="4" w:space="0" w:color="000000"/>
              <w:right w:val="single" w:sz="4" w:space="0" w:color="auto"/>
            </w:tcBorders>
            <w:vAlign w:val="center"/>
            <w:hideMark/>
          </w:tcPr>
          <w:p w:rsidR="00282205" w:rsidRPr="003B1EA4" w:rsidRDefault="00282205" w:rsidP="00282205">
            <w:pPr>
              <w:rPr>
                <w:rFonts w:eastAsia="Times New Roman" w:cs="Times New Roman"/>
                <w:b/>
                <w:bCs/>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2. Điều 2 của dự thảo Quy định, đề nghị cơ quan soạn thảo văn bản xem xét bổ sung đối tượng áp dụng là "Hội đồng thẩm định giá đất cụ thể"</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1815"/>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jc w:val="center"/>
              <w:rPr>
                <w:rFonts w:eastAsia="Times New Roman" w:cs="Times New Roman"/>
                <w:b/>
                <w:color w:val="000000"/>
                <w:sz w:val="26"/>
                <w:szCs w:val="26"/>
              </w:rPr>
            </w:pPr>
            <w:r w:rsidRPr="003B1EA4">
              <w:rPr>
                <w:rFonts w:eastAsia="Times New Roman" w:cs="Times New Roman"/>
                <w:b/>
                <w:color w:val="000000"/>
                <w:sz w:val="26"/>
                <w:szCs w:val="26"/>
              </w:rPr>
              <w:lastRenderedPageBreak/>
              <w:t xml:space="preserve">3. Sở Nông nghiệp và Phát triển nông thôn </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1. Tại Điều 2 đề nghị xem xét điều chỉnh như sau: " Quyết định này có hiệu lực kể từ ngày … tháng … năm 2024 và thay thế Quyết định số 37/2019/QĐ-UBND ngày 06/11/2019 của UBND tỉnh Điện Biên về việc ban hành quy định, quy trình luân chuyển hồ sơ xác định nghĩa vụ tài chính về đất đai của người sử dụng đất trên địa bàn tỉnh Điện Biên.</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1290"/>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2. Đề nghị bổ sung Quốc ngữ, Tiêu ngữ và cơ quan ban hành văn bản đảm bảo thể thức theo quy định tại mẫu số 19 ban hành kèm theo Nghị định số 154/2020/NĐ-CP ngày 31/12/2020 của Chính phủ.</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4398"/>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Tại Điều 4 đề nghị xem xét điều chỉnh tách thành các khoản 1, khoản 2, khoản 3 Điều 4 thành 03 Điều để thuận lợi trong quá tình viện dẫn, tra cứu văn bản, cụ thể như sau: </w:t>
            </w:r>
            <w:r w:rsidRPr="003B1EA4">
              <w:rPr>
                <w:rFonts w:eastAsia="Times New Roman" w:cs="Times New Roman"/>
                <w:color w:val="000000"/>
                <w:sz w:val="26"/>
                <w:szCs w:val="26"/>
              </w:rPr>
              <w:br/>
              <w:t>Điều 4: Quy trình luân chuyển hồ sơ để xác định nghĩa vụ tài chính  trường hợp được Nhà nước giao đất, cho thuê đất, chuyển mục đích sử dụng đất tính theo giá đất trong bảng giá đất theo quy định tại khoản 1 Điều 159 Luật Đất đai</w:t>
            </w:r>
            <w:r w:rsidRPr="003B1EA4">
              <w:rPr>
                <w:rFonts w:eastAsia="Times New Roman" w:cs="Times New Roman"/>
                <w:color w:val="000000"/>
                <w:sz w:val="26"/>
                <w:szCs w:val="26"/>
              </w:rPr>
              <w:br/>
              <w:t xml:space="preserve">Điều 5. Quy trình luân chuyển hồ sơ để tính, thu, nộp tiền sử dụng đất, tiền  thuê đất, chuyển mục đích sử dụng đất tính theo giá đất cụ thể theo quy định tại  khoản 1 Điều 160 Luật Đất đai. </w:t>
            </w:r>
            <w:r w:rsidRPr="003B1EA4">
              <w:rPr>
                <w:rFonts w:eastAsia="Times New Roman" w:cs="Times New Roman"/>
                <w:color w:val="000000"/>
                <w:sz w:val="26"/>
                <w:szCs w:val="26"/>
              </w:rPr>
              <w:br/>
              <w:t>Điều 6. Quy trình luân chuyển hồ sơ để khấu trừ kinh phí bồi thường, hỗ trợ, tái định cư trong trường hợp được Nhà nước giao đất có thu tiền sử dụng đất,  cho thuê đất mà người thực hiện dự án tự nguyện ứng trước kinh phí bồi thường, hỗ trợ, tái định cư cho đơn vị, tổ chức thực hiện nhiệm vụ bồi thường, hỗ trợ, tái  định cư quy định tại khoản 2 Điều 94 Luật Đất đai.</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2257"/>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b/>
                <w:color w:val="000000"/>
                <w:sz w:val="26"/>
                <w:szCs w:val="26"/>
              </w:rPr>
            </w:pPr>
            <w:r w:rsidRPr="003B1EA4">
              <w:rPr>
                <w:rFonts w:eastAsia="Times New Roman" w:cs="Times New Roman"/>
                <w:b/>
                <w:color w:val="000000"/>
                <w:sz w:val="26"/>
                <w:szCs w:val="26"/>
              </w:rPr>
              <w:lastRenderedPageBreak/>
              <w:t xml:space="preserve">4. Công an tỉnh </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Tại khoản 1 và 2, Điều 2, Chương I đề nghị gộp lại thành 1 Khoản và viết thành </w:t>
            </w:r>
            <w:r w:rsidRPr="003B1EA4">
              <w:rPr>
                <w:rFonts w:eastAsia="Times New Roman" w:cs="Times New Roman"/>
                <w:i/>
                <w:iCs/>
                <w:color w:val="000000"/>
                <w:sz w:val="26"/>
                <w:szCs w:val="26"/>
              </w:rPr>
              <w:t>"Cơ quan tiếp nhận và trả kết quả, giải quyết thủ tục hành chính liên quan đến nghãi vụ tài chính về đất đai"</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Sở Tài nguyên giữ nguyên </w:t>
            </w:r>
            <w:r w:rsidRPr="003B1EA4">
              <w:rPr>
                <w:rFonts w:eastAsia="Times New Roman" w:cs="Times New Roman"/>
                <w:color w:val="000000"/>
                <w:sz w:val="26"/>
                <w:szCs w:val="26"/>
              </w:rPr>
              <w:br/>
              <w:t>Lý do: Cơ quan thực hiện nhiệm vụ tại Khoản 1 và Khoản 2 khác nhau, nếu gộp chung không phân biệt rõ được trách nhiệm thực hiện công việc</w:t>
            </w:r>
          </w:p>
        </w:tc>
      </w:tr>
      <w:tr w:rsidR="00282205" w:rsidRPr="003B1EA4" w:rsidTr="003B1EA4">
        <w:trPr>
          <w:trHeight w:val="2691"/>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jc w:val="center"/>
              <w:rPr>
                <w:rFonts w:eastAsia="Times New Roman" w:cs="Times New Roman"/>
                <w:b/>
                <w:bCs/>
                <w:color w:val="000000"/>
                <w:sz w:val="26"/>
                <w:szCs w:val="26"/>
              </w:rPr>
            </w:pPr>
            <w:r w:rsidRPr="003B1EA4">
              <w:rPr>
                <w:rFonts w:eastAsia="Times New Roman" w:cs="Times New Roman"/>
                <w:b/>
                <w:bCs/>
                <w:color w:val="000000"/>
                <w:sz w:val="26"/>
                <w:szCs w:val="26"/>
              </w:rPr>
              <w:t>5. Huyện Nậm Pồ</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jc w:val="both"/>
              <w:rPr>
                <w:rFonts w:eastAsia="Times New Roman" w:cs="Times New Roman"/>
                <w:b/>
                <w:bCs/>
                <w:color w:val="000000"/>
                <w:sz w:val="26"/>
                <w:szCs w:val="26"/>
              </w:rPr>
            </w:pPr>
            <w:r w:rsidRPr="003B1EA4">
              <w:rPr>
                <w:rFonts w:eastAsia="Times New Roman" w:cs="Times New Roman"/>
                <w:b/>
                <w:bCs/>
                <w:color w:val="000000"/>
                <w:sz w:val="26"/>
                <w:szCs w:val="26"/>
              </w:rPr>
              <w:t xml:space="preserve">1. </w:t>
            </w:r>
            <w:r w:rsidRPr="003B1EA4">
              <w:rPr>
                <w:rFonts w:eastAsia="Times New Roman" w:cs="Times New Roman"/>
                <w:color w:val="000000"/>
                <w:sz w:val="26"/>
                <w:szCs w:val="26"/>
              </w:rPr>
              <w:t xml:space="preserve">Tên Điều 4 của Dự thảo quy trình ghi </w:t>
            </w:r>
            <w:r w:rsidRPr="003B1EA4">
              <w:rPr>
                <w:rFonts w:eastAsia="Times New Roman" w:cs="Times New Roman"/>
                <w:i/>
                <w:iCs/>
                <w:color w:val="000000"/>
                <w:sz w:val="26"/>
                <w:szCs w:val="26"/>
              </w:rPr>
              <w:t xml:space="preserve">“Quy trình luân chuyển hồ sơ để tính, thu, nộp tiền sử dụng đất, tiền thuê đất trường hợp được Nhà nước giao đất, cho thuê đất, chuyển mục đích sử dụng đất”. </w:t>
            </w:r>
            <w:r w:rsidRPr="003B1EA4">
              <w:rPr>
                <w:rFonts w:eastAsia="Times New Roman" w:cs="Times New Roman"/>
                <w:color w:val="000000"/>
                <w:sz w:val="26"/>
                <w:szCs w:val="26"/>
              </w:rPr>
              <w:t>Tuy nhiên, nội dung quy trình này bao gồm luân chuyển hồ sơ về xác định nghĩa vụ tài chính về đất đai nói chung (gồm tiền sử dụng đất, tiền thuê đất, các loại thuế liên quan đến đất đai, lệ phí trư</w:t>
            </w:r>
            <w:r w:rsidR="00A55B15" w:rsidRPr="003B1EA4">
              <w:rPr>
                <w:rFonts w:eastAsia="Times New Roman" w:cs="Times New Roman"/>
                <w:color w:val="000000"/>
                <w:sz w:val="26"/>
                <w:szCs w:val="26"/>
              </w:rPr>
              <w:t xml:space="preserve">ớc bạ). </w:t>
            </w:r>
            <w:r w:rsidRPr="003B1EA4">
              <w:rPr>
                <w:rFonts w:eastAsia="Times New Roman" w:cs="Times New Roman"/>
                <w:color w:val="000000"/>
                <w:sz w:val="26"/>
                <w:szCs w:val="26"/>
              </w:rPr>
              <w:t xml:space="preserve">Đề nghị sửa thành “Quy trình luân chuyển hồ sơ để xác định nghĩa vụ tài chính trường hợp được Nhà nước giao đất, cho thuê đất, chuyển mục đích sử dụng đất” để đảm bảo đúng với nội dung của Dự thảo quy trình. </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893"/>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b/>
                <w:bCs/>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jc w:val="both"/>
              <w:rPr>
                <w:rFonts w:eastAsia="Times New Roman" w:cs="Times New Roman"/>
                <w:b/>
                <w:bCs/>
                <w:color w:val="000000"/>
                <w:sz w:val="26"/>
                <w:szCs w:val="26"/>
              </w:rPr>
            </w:pPr>
            <w:r w:rsidRPr="003B1EA4">
              <w:rPr>
                <w:rFonts w:eastAsia="Times New Roman" w:cs="Times New Roman"/>
                <w:b/>
                <w:bCs/>
                <w:color w:val="000000"/>
                <w:sz w:val="26"/>
                <w:szCs w:val="26"/>
              </w:rPr>
              <w:t xml:space="preserve">2. </w:t>
            </w:r>
            <w:r w:rsidRPr="003B1EA4">
              <w:rPr>
                <w:rFonts w:eastAsia="Times New Roman" w:cs="Times New Roman"/>
                <w:color w:val="000000"/>
                <w:sz w:val="26"/>
                <w:szCs w:val="26"/>
              </w:rPr>
              <w:t xml:space="preserve">Theo quy định tại điểm đ khoản 2 Điều 44, Nghị định số 102/2024/NĐ- CP ngày 30/7/2024 của Chính phủ: </w:t>
            </w:r>
            <w:r w:rsidRPr="003B1EA4">
              <w:rPr>
                <w:rFonts w:eastAsia="Times New Roman" w:cs="Times New Roman"/>
                <w:i/>
                <w:iCs/>
                <w:color w:val="000000"/>
                <w:sz w:val="26"/>
                <w:szCs w:val="26"/>
              </w:rPr>
              <w:t xml:space="preserve">Cơ quan có chức năng quản lý đất đai chuyển thông tin địa chính thửa đất theo Mẫu số 04h tại Phụ lục ban hành kèm theo Nghị định này cho cơ quan thuế; </w:t>
            </w:r>
            <w:r w:rsidRPr="003B1EA4">
              <w:rPr>
                <w:rFonts w:eastAsia="Times New Roman" w:cs="Times New Roman"/>
                <w:color w:val="000000"/>
                <w:sz w:val="26"/>
                <w:szCs w:val="26"/>
              </w:rPr>
              <w:t xml:space="preserve">tuy nhiên tại khoản 1, Điều 4 của Dự thảo Quy trình có nêu: </w:t>
            </w:r>
            <w:r w:rsidRPr="003B1EA4">
              <w:rPr>
                <w:rFonts w:eastAsia="Times New Roman" w:cs="Times New Roman"/>
                <w:i/>
                <w:iCs/>
                <w:color w:val="000000"/>
                <w:sz w:val="26"/>
                <w:szCs w:val="26"/>
              </w:rPr>
              <w:t>“…cơ quan có chức năng quản lý đất đai hoặc tổ chức đăng ký đất đai có trách nhiệm chuyển thông tin địa chính thửa đất theo Mẫu 04h tại phụ lục ban hành kèm theo Nghị định số 102/202</w:t>
            </w:r>
            <w:r w:rsidR="00C231DE" w:rsidRPr="003B1EA4">
              <w:rPr>
                <w:rFonts w:eastAsia="Times New Roman" w:cs="Times New Roman"/>
                <w:i/>
                <w:iCs/>
                <w:color w:val="000000"/>
                <w:sz w:val="26"/>
                <w:szCs w:val="26"/>
              </w:rPr>
              <w:t>4/NĐ-CP cho cơ quan thuế”.</w:t>
            </w:r>
            <w:r w:rsidRPr="003B1EA4">
              <w:rPr>
                <w:rFonts w:eastAsia="Times New Roman" w:cs="Times New Roman"/>
                <w:i/>
                <w:iCs/>
                <w:color w:val="000000"/>
                <w:sz w:val="26"/>
                <w:szCs w:val="26"/>
              </w:rPr>
              <w:t>Do đó, trách nhiệm của cơ quan có chức năng quản lý đất đai và tổ chức đăng ký đất đai tại Điều 7, 8 của Dự thảo trong việc luân chuyển hồ sơ xác định nghĩa vụ tài chính thuộc các đối tượng quy định tại khoản 1, 2 Điều 123 Luật Đất đai năm 2024 đang bị trùng lặp. Đề nghị xác định rõ hơn đối với các nội dung:</w:t>
            </w:r>
            <w:r w:rsidRPr="003B1EA4">
              <w:rPr>
                <w:rFonts w:eastAsia="Times New Roman" w:cs="Times New Roman"/>
                <w:i/>
                <w:iCs/>
                <w:color w:val="000000"/>
                <w:sz w:val="26"/>
                <w:szCs w:val="26"/>
              </w:rPr>
              <w:br/>
              <w:t>- Trường hợp cụ thể nào thì cơ quan có chức năng quản lý đất đai có trách nhiệm chuyển thông tin địa chính thửa đất và trường hợp nào thì tổ chức đăng ký  đất đai có trách nhiệm chuyển thông tin địa chính thửa đất theo Mẫu 04h tại phụ lục ban hành kèm theo NĐ 101/2024/NĐ-CP.</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giữ nguyên.</w:t>
            </w:r>
            <w:r w:rsidRPr="003B1EA4">
              <w:rPr>
                <w:rFonts w:eastAsia="Times New Roman" w:cs="Times New Roman"/>
                <w:color w:val="000000"/>
                <w:sz w:val="26"/>
                <w:szCs w:val="26"/>
              </w:rPr>
              <w:br/>
              <w:t>Lý do: Trong dự thảo đã ghi rõ "Người sử dụng đất là đối với đối tượng được quy định tại khoản 1,2 Điều 123 Luật Đất đai ....</w:t>
            </w:r>
            <w:r w:rsidRPr="003B1EA4">
              <w:rPr>
                <w:rFonts w:eastAsia="Times New Roman" w:cs="Times New Roman"/>
                <w:b/>
                <w:bCs/>
                <w:color w:val="000000"/>
                <w:sz w:val="26"/>
                <w:szCs w:val="26"/>
              </w:rPr>
              <w:t xml:space="preserve">thuộc  trách nhiệm giải quyết </w:t>
            </w:r>
            <w:r w:rsidRPr="003B1EA4">
              <w:rPr>
                <w:rFonts w:eastAsia="Times New Roman" w:cs="Times New Roman"/>
                <w:color w:val="000000"/>
                <w:sz w:val="26"/>
                <w:szCs w:val="26"/>
              </w:rPr>
              <w:t>....</w:t>
            </w:r>
            <w:r w:rsidRPr="003B1EA4">
              <w:rPr>
                <w:rFonts w:eastAsia="Times New Roman" w:cs="Times New Roman"/>
                <w:b/>
                <w:bCs/>
                <w:color w:val="000000"/>
                <w:sz w:val="26"/>
                <w:szCs w:val="26"/>
              </w:rPr>
              <w:t xml:space="preserve">". </w:t>
            </w:r>
            <w:r w:rsidRPr="003B1EA4">
              <w:rPr>
                <w:rFonts w:eastAsia="Times New Roman" w:cs="Times New Roman"/>
                <w:color w:val="000000"/>
                <w:sz w:val="26"/>
                <w:szCs w:val="26"/>
              </w:rPr>
              <w:t xml:space="preserve">Trách nhiệm thực hiện chuyển thông tin địa chính quy định rõ trong quy trình giải quyết thủ tục hành chính trong Luật Đất đai, các Nghị định thi hành Luật và Quyết định số 2124/QĐ-BTNMT ngày 01/8/2024 của Bộ Tài nguyên và </w:t>
            </w:r>
            <w:r w:rsidRPr="003B1EA4">
              <w:rPr>
                <w:rFonts w:eastAsia="Times New Roman" w:cs="Times New Roman"/>
                <w:color w:val="000000"/>
                <w:sz w:val="26"/>
                <w:szCs w:val="26"/>
              </w:rPr>
              <w:lastRenderedPageBreak/>
              <w:t>Môi trường do vậy trong dự thảo không nhắc lại.</w:t>
            </w:r>
          </w:p>
        </w:tc>
      </w:tr>
      <w:tr w:rsidR="00282205" w:rsidRPr="003B1EA4" w:rsidTr="003B1EA4">
        <w:trPr>
          <w:trHeight w:val="3675"/>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b/>
                <w:bCs/>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jc w:val="both"/>
              <w:rPr>
                <w:rFonts w:eastAsia="Times New Roman" w:cs="Times New Roman"/>
                <w:color w:val="000000"/>
                <w:sz w:val="26"/>
                <w:szCs w:val="26"/>
              </w:rPr>
            </w:pPr>
            <w:r w:rsidRPr="003B1EA4">
              <w:rPr>
                <w:rFonts w:eastAsia="Times New Roman" w:cs="Times New Roman"/>
                <w:color w:val="000000"/>
                <w:sz w:val="26"/>
                <w:szCs w:val="26"/>
              </w:rPr>
              <w:t xml:space="preserve">- Đề nghị xem lại chức năng của tổ chức đăng ký đất đai tại Điều 8 của Dự thảo quy trình. Trường hợp có phân công nhiệm vụ cho tổ chức đăng ký đất đai thì cần nêu trường hợp cụ thể (như nội dung đã đề nghị ở trên). </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3B1EA4">
            <w:pPr>
              <w:jc w:val="both"/>
              <w:rPr>
                <w:rFonts w:eastAsia="Times New Roman" w:cs="Times New Roman"/>
                <w:color w:val="000000"/>
                <w:sz w:val="26"/>
                <w:szCs w:val="26"/>
              </w:rPr>
            </w:pPr>
            <w:r w:rsidRPr="003B1EA4">
              <w:rPr>
                <w:rFonts w:eastAsia="Times New Roman" w:cs="Times New Roman"/>
                <w:color w:val="000000"/>
                <w:sz w:val="26"/>
                <w:szCs w:val="26"/>
              </w:rPr>
              <w:t>Sở Tài nguyên và Môi trường giữ nguyên.</w:t>
            </w:r>
            <w:r w:rsidRPr="003B1EA4">
              <w:rPr>
                <w:rFonts w:eastAsia="Times New Roman" w:cs="Times New Roman"/>
                <w:color w:val="000000"/>
                <w:sz w:val="26"/>
                <w:szCs w:val="26"/>
              </w:rPr>
              <w:br/>
              <w:t>Lý do: Trong dự thảo đã ghi rõ " Trách nhiệm thực hiện chuyển thông tin địa chính quy định rõ trong quy trình giải quyết thủ tục hành chính trong Luật Đất đai, các Nghị định thi hành Luật và Quyết định số 2124/QĐ-BTNMT ngày 01/8/2024 của Bộ Tài nguyên và Môi trường do vậy trong dự thảo không nhắc lại.</w:t>
            </w:r>
          </w:p>
        </w:tc>
      </w:tr>
      <w:tr w:rsidR="00282205" w:rsidRPr="003B1EA4" w:rsidTr="003B1EA4">
        <w:trPr>
          <w:trHeight w:val="3750"/>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b/>
                <w:bCs/>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961635" w:rsidRPr="003B1EA4" w:rsidRDefault="00282205" w:rsidP="00282205">
            <w:pPr>
              <w:jc w:val="both"/>
              <w:rPr>
                <w:rFonts w:eastAsia="Times New Roman" w:cs="Times New Roman"/>
                <w:color w:val="000000"/>
                <w:sz w:val="26"/>
                <w:szCs w:val="26"/>
                <w:lang w:val="vi-VN"/>
              </w:rPr>
            </w:pPr>
            <w:r w:rsidRPr="003B1EA4">
              <w:rPr>
                <w:rFonts w:eastAsia="Times New Roman" w:cs="Times New Roman"/>
                <w:color w:val="000000"/>
                <w:sz w:val="26"/>
                <w:szCs w:val="26"/>
              </w:rPr>
              <w:t>3. Tại Điều 7. Trách nhiệm của cơ quan có chức năng quản lý đất đai:</w:t>
            </w:r>
          </w:p>
          <w:p w:rsidR="00961635" w:rsidRPr="003B1EA4" w:rsidRDefault="00282205" w:rsidP="00282205">
            <w:pPr>
              <w:jc w:val="both"/>
              <w:rPr>
                <w:rFonts w:eastAsia="Times New Roman" w:cs="Times New Roman"/>
                <w:color w:val="000000"/>
                <w:sz w:val="26"/>
                <w:szCs w:val="26"/>
                <w:lang w:val="vi-VN"/>
              </w:rPr>
            </w:pPr>
            <w:r w:rsidRPr="003B1EA4">
              <w:rPr>
                <w:rFonts w:eastAsia="Times New Roman" w:cs="Times New Roman"/>
                <w:color w:val="000000"/>
                <w:sz w:val="26"/>
                <w:szCs w:val="26"/>
              </w:rPr>
              <w:t>Khoản 1, 2 của Điều này quy định cơ quan quản lý đất đai cấp tỉnh, cấp huyện có trách nhiệm lần lượt là: “Hướng dẫn người sử dụng đất là đối với đối tượng được quy định tại khoản 1, 2 Điều 123 Luật Đất đai kê khai hồ sơ; tiếp nhận, kiểm tra tính đầy đủ, thống nhất thông tin của hồ sơ và luân chuyển hồ sơ nghĩa vụ tài chính về đất đai thuộc trách nhiệm giải quyết cho cơ quan thuế”.</w:t>
            </w:r>
          </w:p>
          <w:p w:rsidR="00282205" w:rsidRPr="003B1EA4" w:rsidRDefault="00282205" w:rsidP="00282205">
            <w:pPr>
              <w:jc w:val="both"/>
              <w:rPr>
                <w:rFonts w:eastAsia="Times New Roman" w:cs="Times New Roman"/>
                <w:color w:val="000000"/>
                <w:sz w:val="26"/>
                <w:szCs w:val="26"/>
              </w:rPr>
            </w:pPr>
            <w:r w:rsidRPr="003B1EA4">
              <w:rPr>
                <w:rFonts w:eastAsia="Times New Roman" w:cs="Times New Roman"/>
                <w:color w:val="000000"/>
                <w:sz w:val="26"/>
                <w:szCs w:val="26"/>
              </w:rPr>
              <w:t>Đề nghị trong Dự thảo thể hiện rõ: Hồ sơ đề nghị người sử dụng đất cần kê khai gồm những gì (theo quy định tại…, mẫu thành phần hồ sơ nếu có); hồ sơ luân chuyển sang cơ quan thuế gồm những giấy tờ, tài liệu nào (theo quy định tại…).</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3B1EA4">
            <w:pPr>
              <w:jc w:val="both"/>
              <w:rPr>
                <w:rFonts w:eastAsia="Times New Roman" w:cs="Times New Roman"/>
                <w:color w:val="000000"/>
                <w:sz w:val="26"/>
                <w:szCs w:val="26"/>
              </w:rPr>
            </w:pPr>
            <w:bookmarkStart w:id="0" w:name="_GoBack"/>
            <w:r w:rsidRPr="003B1EA4">
              <w:rPr>
                <w:rFonts w:eastAsia="Times New Roman" w:cs="Times New Roman"/>
                <w:color w:val="000000"/>
                <w:sz w:val="26"/>
                <w:szCs w:val="26"/>
              </w:rPr>
              <w:t>Sở Tài nguyên và Môi trường giữ nguyên</w:t>
            </w:r>
            <w:r w:rsidRPr="003B1EA4">
              <w:rPr>
                <w:rFonts w:eastAsia="Times New Roman" w:cs="Times New Roman"/>
                <w:color w:val="000000"/>
                <w:sz w:val="26"/>
                <w:szCs w:val="26"/>
              </w:rPr>
              <w:br/>
              <w:t xml:space="preserve">Lý do:  Quyết định này quy định về </w:t>
            </w:r>
            <w:r w:rsidRPr="003B1EA4">
              <w:rPr>
                <w:rFonts w:eastAsia="Times New Roman" w:cs="Times New Roman"/>
                <w:b/>
                <w:bCs/>
                <w:color w:val="000000"/>
                <w:sz w:val="26"/>
                <w:szCs w:val="26"/>
              </w:rPr>
              <w:t xml:space="preserve">quy trình </w:t>
            </w:r>
            <w:r w:rsidRPr="003B1EA4">
              <w:rPr>
                <w:rFonts w:eastAsia="Times New Roman" w:cs="Times New Roman"/>
                <w:color w:val="000000"/>
                <w:sz w:val="26"/>
                <w:szCs w:val="26"/>
              </w:rPr>
              <w:t xml:space="preserve">luân chuyển hồ sơ để xác định tiền sử dụng đất, tiền thuê đất của người sử dụng đất theo quy định của pháp luật về đất đai (Nội dung hồ sơ, thành phần hồ sơ kê khai quy định rõ tại Nghị định 103/2024/NĐ-CP ngày 30 tháng 7 năm 2024). Vì vậy trong dự thảo này không quy </w:t>
            </w:r>
            <w:bookmarkEnd w:id="0"/>
            <w:r w:rsidRPr="003B1EA4">
              <w:rPr>
                <w:rFonts w:eastAsia="Times New Roman" w:cs="Times New Roman"/>
                <w:color w:val="000000"/>
                <w:sz w:val="26"/>
                <w:szCs w:val="26"/>
              </w:rPr>
              <w:t>định</w:t>
            </w:r>
          </w:p>
        </w:tc>
      </w:tr>
      <w:tr w:rsidR="00282205" w:rsidRPr="003B1EA4" w:rsidTr="003B1EA4">
        <w:trPr>
          <w:trHeight w:val="2115"/>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jc w:val="center"/>
              <w:rPr>
                <w:rFonts w:eastAsia="Times New Roman" w:cs="Times New Roman"/>
                <w:color w:val="000000"/>
                <w:sz w:val="26"/>
                <w:szCs w:val="26"/>
              </w:rPr>
            </w:pPr>
            <w:r w:rsidRPr="003B1EA4">
              <w:rPr>
                <w:rFonts w:eastAsia="Times New Roman" w:cs="Times New Roman"/>
                <w:color w:val="000000"/>
                <w:sz w:val="26"/>
                <w:szCs w:val="26"/>
              </w:rPr>
              <w:lastRenderedPageBreak/>
              <w:t xml:space="preserve">6. UBND huyện Mường Nhé </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1. Tại Khoản 2, Điều 7, “Trách nhiệm của cơ quan có chức năng quản lý đất đai” đề nghị bỏ từ " là đối với ..." để thành cụm từ: “Hướng dẫn người sử dụng đất là đối tượng được quy định tại Khoản 1 hoặc Khoản 2 (theo phân cấp), Điều 123, Luật Đất đai thực hiện kê khai hồ sơ; tiếp nhận, kiểm tra tính đầy đủ, thống nhất thông tin của hồ sơ và luân chuyển hồ sơ nghĩa vụ tài chính về đất đai thuộc trách nhiệm giải quyết cho cơ quan thuế”.</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2299"/>
        </w:trPr>
        <w:tc>
          <w:tcPr>
            <w:tcW w:w="1380" w:type="dxa"/>
            <w:vMerge/>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2. Đề nghị bổ sung/làm rõ trách nhiệm của "cơ quan thu ngân sách nhà nước" tại điểm L khoản 2, điều 4 " l) Đối với trường hợp giao đất có thu tiền sử dụng đất, thuê đất sau khi thu tiền sử dụng đất, tiền thuê đất trong thời hạn 01 ngày làm việc cơ quan thu ngân sách nhà nước chuyển thông tin thu nộp ngân  sách cho cơ quan thuế theo quy định của pháp luật về quản lý thuế...". </w:t>
            </w:r>
          </w:p>
        </w:tc>
        <w:tc>
          <w:tcPr>
            <w:tcW w:w="3686" w:type="dxa"/>
            <w:tcBorders>
              <w:top w:val="nil"/>
              <w:left w:val="nil"/>
              <w:bottom w:val="single" w:sz="4" w:space="0" w:color="auto"/>
              <w:right w:val="single" w:sz="4" w:space="0" w:color="auto"/>
            </w:tcBorders>
            <w:shd w:val="clear" w:color="auto" w:fill="auto"/>
            <w:noWrap/>
            <w:vAlign w:val="bottom"/>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w:t>
            </w:r>
            <w:r w:rsidR="00AB6724" w:rsidRPr="003B1EA4">
              <w:rPr>
                <w:rFonts w:eastAsia="Times New Roman" w:cs="Times New Roman"/>
                <w:color w:val="000000"/>
                <w:sz w:val="26"/>
                <w:szCs w:val="26"/>
              </w:rPr>
              <w:t>Sở Tài nguyên và Môi trường giữ nguyên</w:t>
            </w:r>
          </w:p>
          <w:p w:rsidR="00AB6724" w:rsidRPr="003B1EA4" w:rsidRDefault="00AB6724" w:rsidP="00282205">
            <w:pPr>
              <w:rPr>
                <w:rFonts w:eastAsia="Times New Roman" w:cs="Times New Roman"/>
                <w:color w:val="000000"/>
                <w:sz w:val="26"/>
                <w:szCs w:val="26"/>
              </w:rPr>
            </w:pPr>
            <w:r w:rsidRPr="003B1EA4">
              <w:rPr>
                <w:rFonts w:eastAsia="Times New Roman" w:cs="Times New Roman"/>
                <w:color w:val="000000"/>
                <w:sz w:val="26"/>
                <w:szCs w:val="26"/>
              </w:rPr>
              <w:t xml:space="preserve">Lý do: Trách nhiệm của "cơ quan thu ngân sách nhà nước" đã được thể hiện là thu và chuyển thông tin tới cơ quan thuế. </w:t>
            </w:r>
          </w:p>
        </w:tc>
      </w:tr>
      <w:tr w:rsidR="00282205" w:rsidRPr="003B1EA4" w:rsidTr="003B1EA4">
        <w:trPr>
          <w:trHeight w:val="1796"/>
        </w:trPr>
        <w:tc>
          <w:tcPr>
            <w:tcW w:w="1380" w:type="dxa"/>
            <w:vMerge/>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3.Tại Điều 8. Đề nghị quy định cụ thể hơn việc luân chuyển hồ sơ nghĩa vụ tài chính về đất đai đối với từng trường hợp cụ thể thuộc trách nhiệm Chi nhánh Văn Phòng Đăng ký đất đai nhằm mục đích tránh phiền hà cho Nhân dân và giảm bớt thủ tục hành chính về đất đai</w:t>
            </w:r>
          </w:p>
        </w:tc>
        <w:tc>
          <w:tcPr>
            <w:tcW w:w="3686" w:type="dxa"/>
            <w:tcBorders>
              <w:top w:val="nil"/>
              <w:left w:val="nil"/>
              <w:bottom w:val="single" w:sz="4" w:space="0" w:color="auto"/>
              <w:right w:val="single" w:sz="4" w:space="0" w:color="auto"/>
            </w:tcBorders>
            <w:shd w:val="clear" w:color="auto" w:fill="auto"/>
            <w:noWrap/>
            <w:vAlign w:val="bottom"/>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w:t>
            </w:r>
            <w:r w:rsidR="00AB6724" w:rsidRPr="003B1EA4">
              <w:rPr>
                <w:rFonts w:eastAsia="Times New Roman" w:cs="Times New Roman"/>
                <w:color w:val="000000"/>
                <w:sz w:val="26"/>
                <w:szCs w:val="26"/>
              </w:rPr>
              <w:t>Sở Tài nguyên và Môi trường giữ nguyên</w:t>
            </w:r>
          </w:p>
          <w:p w:rsidR="00AB6724" w:rsidRPr="003B1EA4" w:rsidRDefault="00AB6724" w:rsidP="00282205">
            <w:pPr>
              <w:rPr>
                <w:rFonts w:eastAsia="Times New Roman" w:cs="Times New Roman"/>
                <w:color w:val="000000"/>
                <w:sz w:val="26"/>
                <w:szCs w:val="26"/>
              </w:rPr>
            </w:pPr>
            <w:r w:rsidRPr="003B1EA4">
              <w:rPr>
                <w:rFonts w:eastAsia="Times New Roman" w:cs="Times New Roman"/>
                <w:color w:val="000000"/>
                <w:sz w:val="26"/>
                <w:szCs w:val="26"/>
              </w:rPr>
              <w:t>Lý do: Các trường hợp phải thực hiện luân chuyển hồ sơ xác định nghĩa vụ tài chính quy định trong Quyết đinh số 2124/QĐ-BTNMT ngày 21/8/2024 của Bộ Tài nguyên và Môi trường và Quyết định số 1667/QĐ-UBND ngày 11/9/2024 của UBND tỉnh Điện Biên. Trong dự thảo không nhắc lại nội dung này.</w:t>
            </w:r>
          </w:p>
        </w:tc>
      </w:tr>
      <w:tr w:rsidR="00282205" w:rsidRPr="003B1EA4" w:rsidTr="003B1EA4">
        <w:trPr>
          <w:trHeight w:val="7413"/>
        </w:trPr>
        <w:tc>
          <w:tcPr>
            <w:tcW w:w="1380" w:type="dxa"/>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lastRenderedPageBreak/>
              <w:t>7. Huyện Điện Biên</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1. Đối với nội dung tại Điểm b khoản 1 Điều 4 chương II, UBND huyện </w:t>
            </w:r>
            <w:r w:rsidRPr="003B1EA4">
              <w:rPr>
                <w:rFonts w:eastAsia="Times New Roman" w:cs="Times New Roman"/>
                <w:color w:val="000000"/>
                <w:sz w:val="26"/>
                <w:szCs w:val="26"/>
              </w:rPr>
              <w:br/>
              <w:t xml:space="preserve">đề xuất bổ sung như sau:  </w:t>
            </w:r>
            <w:r w:rsidRPr="003B1EA4">
              <w:rPr>
                <w:rFonts w:eastAsia="Times New Roman" w:cs="Times New Roman"/>
                <w:color w:val="000000"/>
                <w:sz w:val="26"/>
                <w:szCs w:val="26"/>
              </w:rPr>
              <w:br/>
              <w:t xml:space="preserve">“b) Trong thời hạn 05 ngày làm việc kể từ ngày nhận được Phiếu chuyển thông tin do cơ quan có chức năng quản lý đất đai hoặc tổ chức đăng ký đất đai  chuyển đến, cơ quan thuế xác định tiền sử dụng đất, đơn giá thuê đất, tiền thuê  đất phải nộp, số tiền sử dụng đất được giảm, ban hành thông báo nộp tiền sử  dụng đất (Thông báo nộp tiền sử dụng đất thực hiện theo Mẫu số 01a hoặc Mẫu số 01b tại Phụ lục I ban hành kèm theo Nghị định số 103/2024/NĐ-CP, ngày 30/7/2024 của Chính Phủ), thông báo nộp tiền thuê đất (Thông báo nộp tiền  thuê đất thực hiện theo Mẫu số 01a hoặc Mẫu số 01b tại Phụ lục II ban hành kèm theo Nghị định số 103/2024/NĐ-CP, ngày 30/7/2024 của Chính Phủ), quyết  định giảm tiền sử dụng đất (nếu thuộc trường hợp được giảm tiền sử dụng đất)  theo quy định và gửi cho người sử dụng đất, cơ quan có chức năng quản lý đất đai hoặc tổ chức đăng ký đất đai có trách nhiệm chuyển thông tin địa chính. Quyết định về việc giảm tiền sử dụng đất thực hiện theo Mẫu số 02 tại Phụ lục I  ban hành kèm theo Nghị định số 103/2024/NĐ-CP, ngày 30/7/2024 của Chính Phủ. Thông báo nộp tiền sử dụng đất được gửi đồng thời cho Kho bạc Nhà nước cùng cấp để theo dõi, hạch toán theo quy định </w:t>
            </w:r>
            <w:r w:rsidRPr="003B1EA4">
              <w:rPr>
                <w:rFonts w:eastAsia="Times New Roman" w:cs="Times New Roman"/>
                <w:i/>
                <w:iCs/>
                <w:color w:val="000000"/>
                <w:sz w:val="26"/>
                <w:szCs w:val="26"/>
              </w:rPr>
              <w:t>(áp dụng đối với địa bàn huyện không có Ngân hàng thương mại)</w:t>
            </w:r>
            <w:r w:rsidRPr="003B1EA4">
              <w:rPr>
                <w:rFonts w:eastAsia="Times New Roman" w:cs="Times New Roman"/>
                <w:color w:val="000000"/>
                <w:sz w:val="26"/>
                <w:szCs w:val="26"/>
              </w:rPr>
              <w:t xml:space="preserve">”. </w:t>
            </w:r>
            <w:r w:rsidRPr="003B1EA4">
              <w:rPr>
                <w:rFonts w:eastAsia="Times New Roman" w:cs="Times New Roman"/>
                <w:color w:val="000000"/>
                <w:sz w:val="26"/>
                <w:szCs w:val="26"/>
              </w:rPr>
              <w:br/>
              <w:t xml:space="preserve">Lý do: Theo Đề án phát triển thanh toán không dùng tiền mặt của Kho bạc Nhà nước hiện nay đa số người nộp thuế đều nộp tiền tại các Ngân hàng Thương mại không còn nộp tiền ở Kho bạc Nhà nước nữa. </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Sở Tài nguyên và Môi trường giữ nguyên </w:t>
            </w:r>
            <w:r w:rsidRPr="003B1EA4">
              <w:rPr>
                <w:rFonts w:eastAsia="Times New Roman" w:cs="Times New Roman"/>
                <w:color w:val="000000"/>
                <w:sz w:val="26"/>
                <w:szCs w:val="26"/>
              </w:rPr>
              <w:br/>
              <w:t>Lý do: Quy định này Thông báo nộp tiền sử dụng đất của cơ quan thuế ngoài gửi cho gửi cho người sử dụng đất, cơ quan có chức năng quản lý đất đai hoặc tổ chức đăng ký đất đai thì phải thực hiện đồng thời cho Kho bạc Nhà nước cùng cấp để theo dõi, hạch toán theo quy định. Việc này không liên quan tới việc người nộp thuế nộp tiền tại Kho bạc hay Ngân hàng thương mại</w:t>
            </w:r>
          </w:p>
        </w:tc>
      </w:tr>
      <w:tr w:rsidR="00282205" w:rsidRPr="003B1EA4" w:rsidTr="003B1EA4">
        <w:trPr>
          <w:trHeight w:val="396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282205" w:rsidRPr="003B1EA4" w:rsidRDefault="00282205" w:rsidP="00282205">
            <w:pPr>
              <w:jc w:val="center"/>
              <w:rPr>
                <w:rFonts w:eastAsia="Times New Roman" w:cs="Times New Roman"/>
                <w:color w:val="000000"/>
                <w:sz w:val="26"/>
                <w:szCs w:val="26"/>
              </w:rPr>
            </w:pPr>
            <w:r w:rsidRPr="003B1EA4">
              <w:rPr>
                <w:rFonts w:eastAsia="Times New Roman" w:cs="Times New Roman"/>
                <w:color w:val="000000"/>
                <w:sz w:val="26"/>
                <w:szCs w:val="26"/>
              </w:rPr>
              <w:lastRenderedPageBreak/>
              <w:t xml:space="preserve">8. UBND huyện Tuần Giáo </w:t>
            </w: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1. Sửa đổi: Khoản 1, Điều 1 về Phạm vi điều chỉnh  </w:t>
            </w:r>
            <w:r w:rsidRPr="003B1EA4">
              <w:rPr>
                <w:rFonts w:eastAsia="Times New Roman" w:cs="Times New Roman"/>
                <w:color w:val="000000"/>
                <w:sz w:val="26"/>
                <w:szCs w:val="26"/>
              </w:rPr>
              <w:br/>
              <w:t xml:space="preserve">Nội dung dự thảo: </w:t>
            </w:r>
            <w:r w:rsidRPr="003B1EA4">
              <w:rPr>
                <w:rFonts w:eastAsia="Times New Roman" w:cs="Times New Roman"/>
                <w:color w:val="000000"/>
                <w:sz w:val="26"/>
                <w:szCs w:val="26"/>
              </w:rPr>
              <w:br/>
              <w:t xml:space="preserve">Quy định này quy định về quy trình luân chuyển hồ sơ để xác định tiền sử dụng đất, tiền thuê đất của người sử dụng đất theo quy định của pháp luật về đất đai. </w:t>
            </w:r>
            <w:r w:rsidRPr="003B1EA4">
              <w:rPr>
                <w:rFonts w:eastAsia="Times New Roman" w:cs="Times New Roman"/>
                <w:color w:val="000000"/>
                <w:sz w:val="26"/>
                <w:szCs w:val="26"/>
              </w:rPr>
              <w:br/>
              <w:t xml:space="preserve">Đề nghị sửa thành:  </w:t>
            </w:r>
            <w:r w:rsidRPr="003B1EA4">
              <w:rPr>
                <w:rFonts w:eastAsia="Times New Roman" w:cs="Times New Roman"/>
                <w:color w:val="000000"/>
                <w:sz w:val="26"/>
                <w:szCs w:val="26"/>
              </w:rPr>
              <w:br/>
              <w:t xml:space="preserve">Quy định này quy định về quy trình luân chuyển hồ sơ để xác định nghĩa vụ tài chính về đất đai gồm: tiền sử dụng đất, tiền thuê đất và các khoản tiền khác mà người sử dụng đất phải nộp theo quy định của pháp luật về đất đai. </w:t>
            </w:r>
            <w:r w:rsidRPr="003B1EA4">
              <w:rPr>
                <w:rFonts w:eastAsia="Times New Roman" w:cs="Times New Roman"/>
                <w:color w:val="000000"/>
                <w:sz w:val="26"/>
                <w:szCs w:val="26"/>
              </w:rPr>
              <w:br/>
              <w:t xml:space="preserve">Lý do: Nghĩa vụ tài chính về đất đai ngoài tiền sử dụng đất, tiền thuê đất khi thực hiện các TTHC về giao đất, cho thuê đất, chuyển mục đích sử dụng đất thì còn một số khoản tiền khác mà người sử dụng đất phải nộp tại cơ quan thuế như thuế thu nhập cá nhân, lệ phí trước bạ... </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r w:rsidR="00282205" w:rsidRPr="003B1EA4" w:rsidTr="003B1EA4">
        <w:trPr>
          <w:trHeight w:val="4995"/>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 xml:space="preserve">2. Sửa đổi: Khoản 3, Điều 3 của Dự thảo Quy định về Nguyên tắc thực hiện: </w:t>
            </w:r>
            <w:r w:rsidRPr="003B1EA4">
              <w:rPr>
                <w:rFonts w:eastAsia="Times New Roman" w:cs="Times New Roman"/>
                <w:color w:val="000000"/>
                <w:sz w:val="26"/>
                <w:szCs w:val="26"/>
              </w:rPr>
              <w:br/>
              <w:t xml:space="preserve">Nội dung dự thảo: Khi phối hợp xác định nghĩa vụ tài chính có những nội dung phức tạp, những vướng mắc phát sinh trong triển khai thì cơ quan tài nguyên môi trường chủ trì phối hợp với các cơ quan, đơn vị có liên quan bàn bạc, thống nhất giải quyết kịp thời; trường hợp không thống nhất hướng giải quyết thì báo cáo Ủy ban nhân dân cùng cấp và cơ quan quản lý chuyên môn cấp trên để xem xét quyết định. </w:t>
            </w:r>
            <w:r w:rsidRPr="003B1EA4">
              <w:rPr>
                <w:rFonts w:eastAsia="Times New Roman" w:cs="Times New Roman"/>
                <w:color w:val="000000"/>
                <w:sz w:val="26"/>
                <w:szCs w:val="26"/>
              </w:rPr>
              <w:br/>
              <w:t>Đề nghị sửa thành: Khi cơ quan thuế thực hiện xác định nghĩa vụ tài chính mà phát sinh vướng mắc thì thông báo với cơ quan có chức năng quản lý đất đai hoặc tổ chức đăng ký đất đai bằng văn bản. Cơ quan có chức năng quản lý đất đai hoặc tổ chức đăng ký đất đai chủ trì phối hợp với các cơ quan, đơn vị có liên quan bàn bạc, thống nhất giải quyết  kịp thời đảm bảo thời gian thực hiện theo quy định; trường hợp không thống nhất được hướng giải quyết thì cơ quan có chức năng quản lý đất đai báo cáo Ủy ban nhân dân cùng cấp và cơ quan quản lý chuyên môn cấp trên để xem xét quyết định.</w:t>
            </w:r>
            <w:r w:rsidRPr="003B1EA4">
              <w:rPr>
                <w:rFonts w:eastAsia="Times New Roman" w:cs="Times New Roman"/>
                <w:color w:val="000000"/>
                <w:sz w:val="26"/>
                <w:szCs w:val="26"/>
              </w:rPr>
              <w:br/>
              <w:t xml:space="preserve"> Lý do: Cơ quan thuế là cơ quan thực hiện xác định nghĩa vụ tài chính dựa trên thông tin địa chính thửa đất của cơ quan có chức năng quản lý đất đai hoặc tổ chức đăng ký đất đai.</w:t>
            </w:r>
          </w:p>
        </w:tc>
        <w:tc>
          <w:tcPr>
            <w:tcW w:w="3686"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Sở Tài nguyên và Môi trường giữ nguyên</w:t>
            </w:r>
            <w:r w:rsidR="003B7B8D" w:rsidRPr="003B1EA4">
              <w:rPr>
                <w:rFonts w:eastAsia="Times New Roman" w:cs="Times New Roman"/>
                <w:color w:val="000000"/>
                <w:sz w:val="26"/>
                <w:szCs w:val="26"/>
              </w:rPr>
              <w:t>. Lý do:</w:t>
            </w:r>
          </w:p>
          <w:p w:rsidR="003B7B8D" w:rsidRPr="003B1EA4" w:rsidRDefault="003B7B8D" w:rsidP="003B7B8D">
            <w:pPr>
              <w:rPr>
                <w:rFonts w:eastAsia="Times New Roman" w:cs="Times New Roman"/>
                <w:color w:val="000000"/>
                <w:sz w:val="26"/>
                <w:szCs w:val="26"/>
              </w:rPr>
            </w:pPr>
            <w:r w:rsidRPr="003B1EA4">
              <w:rPr>
                <w:rFonts w:eastAsia="Times New Roman" w:cs="Times New Roman"/>
                <w:color w:val="000000"/>
                <w:sz w:val="26"/>
                <w:szCs w:val="26"/>
              </w:rPr>
              <w:t>Trong quá trình thực hiện xác định nghĩa vụ tài chính về đất đai sẽ có các nội dung vướng mắc liên quan đến các cơ quan, đơn vị: quản lý đất đai, (Phòng Tài nguyên và Môi trường), đăng ký đất đai (Chi nhánh Văn phòng đăng ký đất đai) và cơ quan thuế. Do đó ghi nội dung như trên trong dự thảo, để đảm bảo khách quan và đầy đủ.</w:t>
            </w:r>
          </w:p>
        </w:tc>
      </w:tr>
      <w:tr w:rsidR="00282205" w:rsidRPr="00282205" w:rsidTr="003B1EA4">
        <w:trPr>
          <w:trHeight w:val="5472"/>
        </w:trPr>
        <w:tc>
          <w:tcPr>
            <w:tcW w:w="1380" w:type="dxa"/>
            <w:vMerge/>
            <w:tcBorders>
              <w:top w:val="nil"/>
              <w:left w:val="single" w:sz="4" w:space="0" w:color="auto"/>
              <w:bottom w:val="single" w:sz="4" w:space="0" w:color="auto"/>
              <w:right w:val="single" w:sz="4" w:space="0" w:color="auto"/>
            </w:tcBorders>
            <w:vAlign w:val="center"/>
            <w:hideMark/>
          </w:tcPr>
          <w:p w:rsidR="00282205" w:rsidRPr="003B1EA4" w:rsidRDefault="00282205" w:rsidP="00282205">
            <w:pPr>
              <w:rPr>
                <w:rFonts w:eastAsia="Times New Roman" w:cs="Times New Roman"/>
                <w:color w:val="000000"/>
                <w:sz w:val="26"/>
                <w:szCs w:val="26"/>
              </w:rPr>
            </w:pPr>
          </w:p>
        </w:tc>
        <w:tc>
          <w:tcPr>
            <w:tcW w:w="8983" w:type="dxa"/>
            <w:tcBorders>
              <w:top w:val="nil"/>
              <w:left w:val="nil"/>
              <w:bottom w:val="single" w:sz="4" w:space="0" w:color="auto"/>
              <w:right w:val="single" w:sz="4" w:space="0" w:color="auto"/>
            </w:tcBorders>
            <w:shd w:val="clear" w:color="auto" w:fill="auto"/>
            <w:vAlign w:val="center"/>
            <w:hideMark/>
          </w:tcPr>
          <w:p w:rsidR="00282205" w:rsidRPr="003B1EA4" w:rsidRDefault="00282205" w:rsidP="00282205">
            <w:pPr>
              <w:rPr>
                <w:rFonts w:eastAsia="Times New Roman" w:cs="Times New Roman"/>
                <w:color w:val="000000"/>
                <w:sz w:val="26"/>
                <w:szCs w:val="26"/>
              </w:rPr>
            </w:pPr>
            <w:r w:rsidRPr="003B1EA4">
              <w:rPr>
                <w:rFonts w:eastAsia="Times New Roman" w:cs="Times New Roman"/>
                <w:color w:val="000000"/>
                <w:sz w:val="26"/>
                <w:szCs w:val="26"/>
              </w:rPr>
              <w:t>3. Sửa đổi: Khoản 2, Điều 8 của Dự thảo Quy định về Trách nhiệm của tổ chức đăng ký đất đai. Nội dung dự thảo: Chi nhánh Văn phòng đăng ký đất đai luân chuyển hồ sơ xác định nghĩa vụ tài chính về đất đai đối với đối tượng được quy định tại khoản 2 Điều 123 Luật Đất đai thuộc trách nhiệm giải quyết cho cơ quan thuế.</w:t>
            </w:r>
            <w:r w:rsidRPr="003B1EA4">
              <w:rPr>
                <w:rFonts w:eastAsia="Times New Roman" w:cs="Times New Roman"/>
                <w:color w:val="000000"/>
                <w:sz w:val="26"/>
                <w:szCs w:val="26"/>
              </w:rPr>
              <w:br/>
              <w:t xml:space="preserve"> Đề nghị sửa thành: Chi nhánh Văn phòng đăng ký đất đai luân chuyển hồ sơ xác định nghĩa vụ tài chính về đất đai đối với các trường hợp biến động về quyền sử dụng đất, quyền sở hữu tài sản gắn liền với đất. Lý do: Trong 20 TTHC thuộc phạm vi chức năng quản lý nhà nước của UBND huyện đã nêu ở trên thì tổ chức đăng ký đất đai cấp huyện là Chi nhánh Văn phòng đăng ký đất đai huyện không có trách nhiệm chuyển thông tin địa chính thửa đất cho cơ quan thuế đối với TTHC theo quy định mà chỉ thực hiện luân chuyển hồ sơ xác định nghĩa vụ tài chính về đất đai đối với các trường hợp biến động về quyền sử dụng đất, quyền sở hữu tài sản gắn liền với đất. Nếu dự thảo Quyết định để cơ quan có chức năng quản lý đất đai và tổ chức đăng ký đất đai đều có trách nhiệm luân chuyển hồ sơ xác định nghĩa vụ tài chính đối với các đối tượng được quy định tại khoản 2 Điều 123 Luật Đất đai (gồm: Giao đất, cho thuê đất, cho phép chuyển mục đích sử dụng đất) sẽ dẫn đến chồng chéo, không thống nhất được trong giải quyết công việc.</w:t>
            </w:r>
          </w:p>
        </w:tc>
        <w:tc>
          <w:tcPr>
            <w:tcW w:w="3686" w:type="dxa"/>
            <w:tcBorders>
              <w:top w:val="nil"/>
              <w:left w:val="nil"/>
              <w:bottom w:val="single" w:sz="4" w:space="0" w:color="auto"/>
              <w:right w:val="single" w:sz="4" w:space="0" w:color="auto"/>
            </w:tcBorders>
            <w:shd w:val="clear" w:color="auto" w:fill="auto"/>
            <w:noWrap/>
            <w:vAlign w:val="center"/>
            <w:hideMark/>
          </w:tcPr>
          <w:p w:rsidR="00282205" w:rsidRPr="00282205" w:rsidRDefault="00593D8B" w:rsidP="00593D8B">
            <w:pPr>
              <w:jc w:val="center"/>
              <w:rPr>
                <w:rFonts w:eastAsia="Times New Roman" w:cs="Times New Roman"/>
                <w:color w:val="000000"/>
                <w:sz w:val="26"/>
                <w:szCs w:val="26"/>
              </w:rPr>
            </w:pPr>
            <w:r w:rsidRPr="003B1EA4">
              <w:rPr>
                <w:rFonts w:eastAsia="Times New Roman" w:cs="Times New Roman"/>
                <w:color w:val="000000"/>
                <w:sz w:val="26"/>
                <w:szCs w:val="26"/>
              </w:rPr>
              <w:t>Sở Tài nguyên và Môi trường tiếp thu, chỉnh sửa</w:t>
            </w:r>
          </w:p>
        </w:tc>
      </w:tr>
    </w:tbl>
    <w:p w:rsidR="009473C3" w:rsidRPr="00A55B15" w:rsidRDefault="009473C3">
      <w:pPr>
        <w:rPr>
          <w:rFonts w:cs="Times New Roman"/>
          <w:sz w:val="26"/>
          <w:szCs w:val="26"/>
        </w:rPr>
      </w:pPr>
    </w:p>
    <w:sectPr w:rsidR="009473C3" w:rsidRPr="00A55B15" w:rsidSect="00101317">
      <w:headerReference w:type="default" r:id="rId7"/>
      <w:pgSz w:w="16840" w:h="11907" w:orient="landscape" w:code="9"/>
      <w:pgMar w:top="851"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C0B" w:rsidRDefault="00D44C0B" w:rsidP="00101317">
      <w:r>
        <w:separator/>
      </w:r>
    </w:p>
  </w:endnote>
  <w:endnote w:type="continuationSeparator" w:id="0">
    <w:p w:rsidR="00D44C0B" w:rsidRDefault="00D44C0B" w:rsidP="0010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C0B" w:rsidRDefault="00D44C0B" w:rsidP="00101317">
      <w:r>
        <w:separator/>
      </w:r>
    </w:p>
  </w:footnote>
  <w:footnote w:type="continuationSeparator" w:id="0">
    <w:p w:rsidR="00D44C0B" w:rsidRDefault="00D44C0B" w:rsidP="00101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502844"/>
      <w:docPartObj>
        <w:docPartGallery w:val="Page Numbers (Top of Page)"/>
        <w:docPartUnique/>
      </w:docPartObj>
    </w:sdtPr>
    <w:sdtEndPr>
      <w:rPr>
        <w:noProof/>
      </w:rPr>
    </w:sdtEndPr>
    <w:sdtContent>
      <w:p w:rsidR="00101317" w:rsidRDefault="00101317">
        <w:pPr>
          <w:pStyle w:val="Header"/>
          <w:jc w:val="center"/>
        </w:pPr>
        <w:r>
          <w:fldChar w:fldCharType="begin"/>
        </w:r>
        <w:r>
          <w:instrText xml:space="preserve"> PAGE   \* MERGEFORMAT </w:instrText>
        </w:r>
        <w:r>
          <w:fldChar w:fldCharType="separate"/>
        </w:r>
        <w:r w:rsidR="003B1EA4">
          <w:rPr>
            <w:noProof/>
          </w:rPr>
          <w:t>2</w:t>
        </w:r>
        <w:r>
          <w:rPr>
            <w:noProof/>
          </w:rPr>
          <w:fldChar w:fldCharType="end"/>
        </w:r>
      </w:p>
    </w:sdtContent>
  </w:sdt>
  <w:p w:rsidR="00101317" w:rsidRDefault="001013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09A"/>
    <w:rsid w:val="00101317"/>
    <w:rsid w:val="00265C3B"/>
    <w:rsid w:val="00273B52"/>
    <w:rsid w:val="00282205"/>
    <w:rsid w:val="002E4F26"/>
    <w:rsid w:val="003B1EA4"/>
    <w:rsid w:val="003B7B8D"/>
    <w:rsid w:val="004A2041"/>
    <w:rsid w:val="005668A6"/>
    <w:rsid w:val="00593D8B"/>
    <w:rsid w:val="00893969"/>
    <w:rsid w:val="0089509A"/>
    <w:rsid w:val="008B52AD"/>
    <w:rsid w:val="009473C3"/>
    <w:rsid w:val="00961635"/>
    <w:rsid w:val="009631D5"/>
    <w:rsid w:val="00A51D0A"/>
    <w:rsid w:val="00A55B15"/>
    <w:rsid w:val="00AB6724"/>
    <w:rsid w:val="00B26075"/>
    <w:rsid w:val="00C231DE"/>
    <w:rsid w:val="00D20FE4"/>
    <w:rsid w:val="00D44C0B"/>
    <w:rsid w:val="00F7194B"/>
    <w:rsid w:val="00F7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26075"/>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B26075"/>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B26075"/>
    <w:rPr>
      <w:rFonts w:ascii="TimesNewRomanPS-BoldItalicMT" w:hAnsi="TimesNewRomanPS-BoldItalicMT" w:hint="default"/>
      <w:b/>
      <w:bCs/>
      <w:i/>
      <w:iCs/>
      <w:color w:val="000000"/>
      <w:sz w:val="28"/>
      <w:szCs w:val="28"/>
    </w:rPr>
  </w:style>
  <w:style w:type="paragraph" w:styleId="Header">
    <w:name w:val="header"/>
    <w:basedOn w:val="Normal"/>
    <w:link w:val="HeaderChar"/>
    <w:uiPriority w:val="99"/>
    <w:unhideWhenUsed/>
    <w:rsid w:val="00101317"/>
    <w:pPr>
      <w:tabs>
        <w:tab w:val="center" w:pos="4680"/>
        <w:tab w:val="right" w:pos="9360"/>
      </w:tabs>
    </w:pPr>
  </w:style>
  <w:style w:type="character" w:customStyle="1" w:styleId="HeaderChar">
    <w:name w:val="Header Char"/>
    <w:basedOn w:val="DefaultParagraphFont"/>
    <w:link w:val="Header"/>
    <w:uiPriority w:val="99"/>
    <w:rsid w:val="00101317"/>
  </w:style>
  <w:style w:type="paragraph" w:styleId="Footer">
    <w:name w:val="footer"/>
    <w:basedOn w:val="Normal"/>
    <w:link w:val="FooterChar"/>
    <w:uiPriority w:val="99"/>
    <w:unhideWhenUsed/>
    <w:rsid w:val="00101317"/>
    <w:pPr>
      <w:tabs>
        <w:tab w:val="center" w:pos="4680"/>
        <w:tab w:val="right" w:pos="9360"/>
      </w:tabs>
    </w:pPr>
  </w:style>
  <w:style w:type="character" w:customStyle="1" w:styleId="FooterChar">
    <w:name w:val="Footer Char"/>
    <w:basedOn w:val="DefaultParagraphFont"/>
    <w:link w:val="Footer"/>
    <w:uiPriority w:val="99"/>
    <w:rsid w:val="001013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26075"/>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B26075"/>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B26075"/>
    <w:rPr>
      <w:rFonts w:ascii="TimesNewRomanPS-BoldItalicMT" w:hAnsi="TimesNewRomanPS-BoldItalicMT" w:hint="default"/>
      <w:b/>
      <w:bCs/>
      <w:i/>
      <w:iCs/>
      <w:color w:val="000000"/>
      <w:sz w:val="28"/>
      <w:szCs w:val="28"/>
    </w:rPr>
  </w:style>
  <w:style w:type="paragraph" w:styleId="Header">
    <w:name w:val="header"/>
    <w:basedOn w:val="Normal"/>
    <w:link w:val="HeaderChar"/>
    <w:uiPriority w:val="99"/>
    <w:unhideWhenUsed/>
    <w:rsid w:val="00101317"/>
    <w:pPr>
      <w:tabs>
        <w:tab w:val="center" w:pos="4680"/>
        <w:tab w:val="right" w:pos="9360"/>
      </w:tabs>
    </w:pPr>
  </w:style>
  <w:style w:type="character" w:customStyle="1" w:styleId="HeaderChar">
    <w:name w:val="Header Char"/>
    <w:basedOn w:val="DefaultParagraphFont"/>
    <w:link w:val="Header"/>
    <w:uiPriority w:val="99"/>
    <w:rsid w:val="00101317"/>
  </w:style>
  <w:style w:type="paragraph" w:styleId="Footer">
    <w:name w:val="footer"/>
    <w:basedOn w:val="Normal"/>
    <w:link w:val="FooterChar"/>
    <w:uiPriority w:val="99"/>
    <w:unhideWhenUsed/>
    <w:rsid w:val="00101317"/>
    <w:pPr>
      <w:tabs>
        <w:tab w:val="center" w:pos="4680"/>
        <w:tab w:val="right" w:pos="9360"/>
      </w:tabs>
    </w:pPr>
  </w:style>
  <w:style w:type="character" w:customStyle="1" w:styleId="FooterChar">
    <w:name w:val="Footer Char"/>
    <w:basedOn w:val="DefaultParagraphFont"/>
    <w:link w:val="Footer"/>
    <w:uiPriority w:val="99"/>
    <w:rsid w:val="00101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32284">
      <w:bodyDiv w:val="1"/>
      <w:marLeft w:val="0"/>
      <w:marRight w:val="0"/>
      <w:marTop w:val="0"/>
      <w:marBottom w:val="0"/>
      <w:divBdr>
        <w:top w:val="none" w:sz="0" w:space="0" w:color="auto"/>
        <w:left w:val="none" w:sz="0" w:space="0" w:color="auto"/>
        <w:bottom w:val="none" w:sz="0" w:space="0" w:color="auto"/>
        <w:right w:val="none" w:sz="0" w:space="0" w:color="auto"/>
      </w:divBdr>
    </w:div>
    <w:div w:id="4995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8</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16</cp:revision>
  <dcterms:created xsi:type="dcterms:W3CDTF">2024-07-06T03:10:00Z</dcterms:created>
  <dcterms:modified xsi:type="dcterms:W3CDTF">2024-11-22T03:12:00Z</dcterms:modified>
</cp:coreProperties>
</file>